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3F14" w14:textId="77777777" w:rsidR="006B5E08" w:rsidRDefault="00D81B6E">
      <w:pPr>
        <w:spacing w:beforeLines="50" w:before="156" w:afterLines="50" w:after="156" w:line="44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“课程思政”教学设计大赛</w:t>
      </w:r>
      <w:r>
        <w:rPr>
          <w:rFonts w:ascii="黑体" w:eastAsia="黑体" w:hint="eastAsia"/>
          <w:sz w:val="32"/>
          <w:szCs w:val="32"/>
        </w:rPr>
        <w:t>评分标准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256"/>
        <w:gridCol w:w="1767"/>
        <w:gridCol w:w="2380"/>
        <w:gridCol w:w="807"/>
        <w:gridCol w:w="904"/>
      </w:tblGrid>
      <w:tr w:rsidR="006B5E08" w14:paraId="69D6D9D1" w14:textId="77777777">
        <w:trPr>
          <w:trHeight w:val="564"/>
          <w:jc w:val="center"/>
        </w:trPr>
        <w:tc>
          <w:tcPr>
            <w:tcW w:w="1440" w:type="dxa"/>
            <w:gridSpan w:val="2"/>
            <w:vAlign w:val="center"/>
          </w:tcPr>
          <w:p w14:paraId="7B13ABEB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2256" w:type="dxa"/>
            <w:vAlign w:val="center"/>
          </w:tcPr>
          <w:p w14:paraId="3CB7456A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vAlign w:val="center"/>
          </w:tcPr>
          <w:p w14:paraId="5DEED4D7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4091" w:type="dxa"/>
            <w:gridSpan w:val="3"/>
            <w:vAlign w:val="center"/>
          </w:tcPr>
          <w:p w14:paraId="2E681413" w14:textId="77777777" w:rsidR="006B5E08" w:rsidRDefault="00D81B6E">
            <w:pPr>
              <w:widowControl/>
              <w:spacing w:line="440" w:lineRule="exac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6B5E08" w14:paraId="31041562" w14:textId="77777777">
        <w:trPr>
          <w:trHeight w:val="309"/>
          <w:jc w:val="center"/>
        </w:trPr>
        <w:tc>
          <w:tcPr>
            <w:tcW w:w="720" w:type="dxa"/>
            <w:vAlign w:val="center"/>
          </w:tcPr>
          <w:p w14:paraId="726F1A9D" w14:textId="77777777" w:rsidR="006B5E08" w:rsidRDefault="00D81B6E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720" w:type="dxa"/>
            <w:vAlign w:val="center"/>
          </w:tcPr>
          <w:p w14:paraId="2B5CE442" w14:textId="77777777" w:rsidR="006B5E08" w:rsidRDefault="00D81B6E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二级项目</w:t>
            </w:r>
          </w:p>
        </w:tc>
        <w:tc>
          <w:tcPr>
            <w:tcW w:w="6403" w:type="dxa"/>
            <w:gridSpan w:val="3"/>
            <w:vAlign w:val="center"/>
          </w:tcPr>
          <w:p w14:paraId="25AD8F1F" w14:textId="77777777" w:rsidR="006B5E08" w:rsidRDefault="00D81B6E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807" w:type="dxa"/>
            <w:vAlign w:val="center"/>
          </w:tcPr>
          <w:p w14:paraId="0E585542" w14:textId="77777777" w:rsidR="006B5E08" w:rsidRDefault="00D81B6E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04" w:type="dxa"/>
            <w:vAlign w:val="center"/>
          </w:tcPr>
          <w:p w14:paraId="6DCB72E8" w14:textId="77777777" w:rsidR="006B5E08" w:rsidRDefault="00D81B6E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6B5E08" w14:paraId="0AE51629" w14:textId="77777777">
        <w:trPr>
          <w:trHeight w:val="3330"/>
          <w:jc w:val="center"/>
        </w:trPr>
        <w:tc>
          <w:tcPr>
            <w:tcW w:w="720" w:type="dxa"/>
            <w:vMerge w:val="restart"/>
            <w:vAlign w:val="center"/>
          </w:tcPr>
          <w:p w14:paraId="04B5280C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说</w:t>
            </w:r>
          </w:p>
          <w:p w14:paraId="34CE06DD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课</w:t>
            </w:r>
          </w:p>
          <w:p w14:paraId="5EEA1018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部</w:t>
            </w:r>
          </w:p>
          <w:p w14:paraId="54785151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分</w:t>
            </w:r>
          </w:p>
          <w:p w14:paraId="26D48025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0" w:type="dxa"/>
            <w:vAlign w:val="center"/>
          </w:tcPr>
          <w:p w14:paraId="4144DE9D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说</w:t>
            </w:r>
          </w:p>
          <w:p w14:paraId="0A1CF857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403" w:type="dxa"/>
            <w:gridSpan w:val="3"/>
            <w:vAlign w:val="center"/>
          </w:tcPr>
          <w:p w14:paraId="146FEA24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习近平新时代中国特色社会主义思想为指导，坚持知识传授与价值引领相结合，运用可以培养大学生理想信念、价值取向、政治信仰、社会责任的题材与内容，全面提高大学生明辨是非的能力，让学生成为德才兼备、全面发展的人才；</w:t>
            </w:r>
          </w:p>
          <w:p w14:paraId="247613F6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教学目标体现立德树人的根本理念；反映国家、学校与学生需求，注重学生未来发展，体现学校培养特色；</w:t>
            </w:r>
          </w:p>
          <w:p w14:paraId="60E896A3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明确课程要达到具体目标，表述精准，条理清晰。</w:t>
            </w:r>
          </w:p>
        </w:tc>
        <w:tc>
          <w:tcPr>
            <w:tcW w:w="807" w:type="dxa"/>
            <w:vAlign w:val="center"/>
          </w:tcPr>
          <w:p w14:paraId="55E7D5FD" w14:textId="77777777" w:rsidR="006B5E08" w:rsidRDefault="00D81B6E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4" w:type="dxa"/>
            <w:vAlign w:val="bottom"/>
          </w:tcPr>
          <w:p w14:paraId="3A091E88" w14:textId="77777777" w:rsidR="006B5E08" w:rsidRDefault="006B5E08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6B5E08" w14:paraId="2E48E137" w14:textId="77777777">
        <w:trPr>
          <w:trHeight w:val="822"/>
          <w:jc w:val="center"/>
        </w:trPr>
        <w:tc>
          <w:tcPr>
            <w:tcW w:w="720" w:type="dxa"/>
            <w:vMerge/>
            <w:vAlign w:val="center"/>
          </w:tcPr>
          <w:p w14:paraId="118FD2B4" w14:textId="77777777" w:rsidR="006B5E08" w:rsidRDefault="006B5E08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592F285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说</w:t>
            </w:r>
          </w:p>
          <w:p w14:paraId="016EBBD3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6403" w:type="dxa"/>
            <w:gridSpan w:val="3"/>
            <w:vAlign w:val="center"/>
          </w:tcPr>
          <w:p w14:paraId="10284986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教学过程紧密围绕教学目标设计，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各板块设计以及时间分配科学合理，层次清楚，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有助于实现预期成效；</w:t>
            </w:r>
          </w:p>
          <w:p w14:paraId="7499522D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教学内容具有先进性，合理使用微课、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慕课等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教学资源，进行线上线下混合式教学，有效安排课堂时间与线上学习；教学形式具有互动性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38F26C0A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教学活动具有高阶性，体现知识、能力与素质的有机融合，培养学生运用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所学知识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解决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实际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问题的综合能力和高级思维；</w:t>
            </w:r>
          </w:p>
          <w:p w14:paraId="47279C37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教学设计具有挑战度，通过有新意、有深度、有挑战的问题或任务，引导学生提高综合素养。</w:t>
            </w:r>
          </w:p>
        </w:tc>
        <w:tc>
          <w:tcPr>
            <w:tcW w:w="807" w:type="dxa"/>
            <w:vAlign w:val="center"/>
          </w:tcPr>
          <w:p w14:paraId="55A0C8FD" w14:textId="77777777" w:rsidR="006B5E08" w:rsidRDefault="00D81B6E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4" w:type="dxa"/>
            <w:vAlign w:val="bottom"/>
          </w:tcPr>
          <w:p w14:paraId="144B780A" w14:textId="77777777" w:rsidR="006B5E08" w:rsidRDefault="006B5E08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6B5E08" w14:paraId="1DBECD19" w14:textId="77777777">
        <w:trPr>
          <w:trHeight w:val="822"/>
          <w:jc w:val="center"/>
        </w:trPr>
        <w:tc>
          <w:tcPr>
            <w:tcW w:w="720" w:type="dxa"/>
            <w:vMerge/>
            <w:vAlign w:val="center"/>
          </w:tcPr>
          <w:p w14:paraId="3CF4BCB1" w14:textId="77777777" w:rsidR="006B5E08" w:rsidRDefault="006B5E08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3F7B79B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说</w:t>
            </w:r>
          </w:p>
          <w:p w14:paraId="214B7EF7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教学评价</w:t>
            </w:r>
          </w:p>
        </w:tc>
        <w:tc>
          <w:tcPr>
            <w:tcW w:w="6403" w:type="dxa"/>
            <w:gridSpan w:val="3"/>
            <w:vAlign w:val="center"/>
          </w:tcPr>
          <w:p w14:paraId="68529269" w14:textId="77777777" w:rsidR="006B5E08" w:rsidRDefault="00D81B6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教学评价体现培养特色，能有效检验课程成效是否达成；</w:t>
            </w:r>
          </w:p>
          <w:p w14:paraId="42C7A754" w14:textId="77777777" w:rsidR="006B5E08" w:rsidRDefault="00D81B6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教学评价采用多元评价方式，形成性评价与终结性评价相结合；</w:t>
            </w:r>
          </w:p>
          <w:p w14:paraId="006B0B8D" w14:textId="77777777" w:rsidR="006B5E08" w:rsidRDefault="00D81B6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教学评价导向清晰，标准明确，能够对学生起到提示、引导和督促作用。</w:t>
            </w:r>
          </w:p>
        </w:tc>
        <w:tc>
          <w:tcPr>
            <w:tcW w:w="807" w:type="dxa"/>
            <w:vAlign w:val="center"/>
          </w:tcPr>
          <w:p w14:paraId="25A6BF05" w14:textId="77777777" w:rsidR="006B5E08" w:rsidRDefault="00D81B6E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4" w:type="dxa"/>
            <w:vAlign w:val="bottom"/>
          </w:tcPr>
          <w:p w14:paraId="08FAEF66" w14:textId="77777777" w:rsidR="006B5E08" w:rsidRDefault="006B5E08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</w:tbl>
    <w:p w14:paraId="3BCEFA48" w14:textId="77777777" w:rsidR="006B5E08" w:rsidRDefault="00D81B6E">
      <w:pPr>
        <w:jc w:val="center"/>
      </w:pPr>
      <w:r>
        <w:rPr>
          <w:rFonts w:ascii="黑体" w:eastAsia="黑体" w:hAnsi="宋体" w:cs="宋体" w:hint="eastAsia"/>
          <w:color w:val="000000"/>
          <w:kern w:val="0"/>
          <w:sz w:val="22"/>
          <w:szCs w:val="22"/>
        </w:rPr>
        <w:br w:type="page"/>
      </w:r>
    </w:p>
    <w:tbl>
      <w:tblPr>
        <w:tblStyle w:val="a3"/>
        <w:tblpPr w:leftFromText="180" w:rightFromText="180" w:vertAnchor="text" w:horzAnchor="page" w:tblpX="1763" w:tblpY="137"/>
        <w:tblOverlap w:val="never"/>
        <w:tblW w:w="8826" w:type="dxa"/>
        <w:tblLayout w:type="fixed"/>
        <w:tblLook w:val="04A0" w:firstRow="1" w:lastRow="0" w:firstColumn="1" w:lastColumn="0" w:noHBand="0" w:noVBand="1"/>
      </w:tblPr>
      <w:tblGrid>
        <w:gridCol w:w="820"/>
        <w:gridCol w:w="900"/>
        <w:gridCol w:w="5756"/>
        <w:gridCol w:w="638"/>
        <w:gridCol w:w="712"/>
      </w:tblGrid>
      <w:tr w:rsidR="006B5E08" w14:paraId="08F2A06C" w14:textId="77777777">
        <w:trPr>
          <w:trHeight w:val="5703"/>
        </w:trPr>
        <w:tc>
          <w:tcPr>
            <w:tcW w:w="820" w:type="dxa"/>
            <w:vMerge w:val="restart"/>
          </w:tcPr>
          <w:p w14:paraId="0E647536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F15AB4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318D2C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01AC66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3F8F9B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75233E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D5FE21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831486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B73F08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F9F463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F217C0A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A07210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448EE7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2B0B83" w14:textId="77777777" w:rsidR="006B5E08" w:rsidRDefault="006B5E08">
            <w:pPr>
              <w:ind w:firstLineChars="100" w:firstLine="241"/>
              <w:rPr>
                <w:rFonts w:ascii="Times New Roman" w:hAnsi="Times New Roman"/>
                <w:b/>
                <w:sz w:val="24"/>
              </w:rPr>
            </w:pPr>
          </w:p>
          <w:p w14:paraId="2B657808" w14:textId="77777777" w:rsidR="006B5E08" w:rsidRDefault="006B5E08">
            <w:pPr>
              <w:ind w:firstLineChars="100" w:firstLine="241"/>
              <w:rPr>
                <w:rFonts w:ascii="Times New Roman" w:hAnsi="Times New Roman"/>
                <w:b/>
                <w:sz w:val="24"/>
              </w:rPr>
            </w:pPr>
          </w:p>
          <w:p w14:paraId="6EBAA3C5" w14:textId="77777777" w:rsidR="006B5E08" w:rsidRDefault="006B5E08">
            <w:pPr>
              <w:ind w:firstLineChars="100" w:firstLine="241"/>
              <w:rPr>
                <w:rFonts w:ascii="Times New Roman" w:hAnsi="Times New Roman"/>
                <w:b/>
                <w:sz w:val="24"/>
              </w:rPr>
            </w:pPr>
          </w:p>
          <w:p w14:paraId="0929A6BE" w14:textId="77777777" w:rsidR="006B5E08" w:rsidRDefault="006B5E08">
            <w:pPr>
              <w:rPr>
                <w:rFonts w:ascii="Times New Roman" w:hAnsi="Times New Roman"/>
                <w:b/>
                <w:sz w:val="24"/>
              </w:rPr>
            </w:pPr>
          </w:p>
          <w:p w14:paraId="1DEE8956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课</w:t>
            </w:r>
          </w:p>
          <w:p w14:paraId="63177890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堂</w:t>
            </w:r>
          </w:p>
          <w:p w14:paraId="167921BA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</w:t>
            </w:r>
          </w:p>
          <w:p w14:paraId="400FA840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</w:t>
            </w:r>
          </w:p>
          <w:p w14:paraId="33B66443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部</w:t>
            </w:r>
          </w:p>
          <w:p w14:paraId="77311CFA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分</w:t>
            </w:r>
          </w:p>
          <w:p w14:paraId="32319D54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70</w:t>
            </w:r>
          </w:p>
          <w:p w14:paraId="346D78C2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分</w:t>
            </w:r>
          </w:p>
          <w:p w14:paraId="66BE6AC3" w14:textId="77777777" w:rsidR="006B5E08" w:rsidRDefault="006B5E08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14:paraId="3212B533" w14:textId="77777777" w:rsidR="006B5E08" w:rsidRDefault="006B5E08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14:paraId="12BE30C2" w14:textId="77777777" w:rsidR="006B5E08" w:rsidRDefault="006B5E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2561440A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F7C0B00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BED0E5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60CF7C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04B046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EB3A4F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</w:t>
            </w:r>
          </w:p>
          <w:p w14:paraId="2928AA1D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</w:t>
            </w:r>
          </w:p>
          <w:p w14:paraId="1812E3F8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实</w:t>
            </w:r>
          </w:p>
          <w:p w14:paraId="27C054DF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施</w:t>
            </w:r>
          </w:p>
          <w:p w14:paraId="1884B632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56" w:type="dxa"/>
          </w:tcPr>
          <w:p w14:paraId="364E6512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深入发掘和提炼课程所蕴含的思政要素，能将思想政治教育和专业知识传授融合，课程纳入引导学生树立正确世界观、人生观、价值观等内容。</w:t>
            </w:r>
          </w:p>
          <w:p w14:paraId="78883342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善于综合运用现代信息技术手段和数字资源把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巧妙渗透教学全过程，教学方法运用恰当，教学策略使用有效。</w:t>
            </w:r>
          </w:p>
          <w:p w14:paraId="1C23755F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内容充实，信息量大，体现专业素养，符合教学目标，有一定的学术性；反映或联系学科发展新思想、新概念、新成果；重点突出，条理清楚，内容承前启后，循序渐进。</w:t>
            </w:r>
          </w:p>
          <w:p w14:paraId="175A83DF" w14:textId="77777777" w:rsidR="006B5E08" w:rsidRDefault="00D81B6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注重教学互动，突出学生主体地位，调动学生参与课堂积极性。</w:t>
            </w:r>
          </w:p>
        </w:tc>
        <w:tc>
          <w:tcPr>
            <w:tcW w:w="638" w:type="dxa"/>
          </w:tcPr>
          <w:p w14:paraId="0681CAFF" w14:textId="77777777" w:rsidR="006B5E08" w:rsidRDefault="006B5E0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5548F7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DD0BA4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114593C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4B037A7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53C806" w14:textId="77777777" w:rsidR="006B5E08" w:rsidRDefault="006B5E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2D7D87" w14:textId="77777777" w:rsidR="006B5E08" w:rsidRDefault="00D81B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712" w:type="dxa"/>
          </w:tcPr>
          <w:p w14:paraId="3035545F" w14:textId="77777777" w:rsidR="006B5E08" w:rsidRDefault="006B5E08">
            <w:pPr>
              <w:rPr>
                <w:rFonts w:ascii="Times New Roman" w:hAnsi="Times New Roman"/>
                <w:sz w:val="24"/>
              </w:rPr>
            </w:pPr>
          </w:p>
        </w:tc>
      </w:tr>
      <w:tr w:rsidR="006B5E08" w14:paraId="1E8835A9" w14:textId="77777777">
        <w:trPr>
          <w:trHeight w:val="2702"/>
        </w:trPr>
        <w:tc>
          <w:tcPr>
            <w:tcW w:w="820" w:type="dxa"/>
            <w:vMerge/>
          </w:tcPr>
          <w:p w14:paraId="5F0115E4" w14:textId="77777777" w:rsidR="006B5E08" w:rsidRDefault="006B5E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47B1B0AE" w14:textId="77777777" w:rsidR="006B5E08" w:rsidRDefault="006B5E08">
            <w:pPr>
              <w:spacing w:line="420" w:lineRule="exact"/>
              <w:ind w:firstLineChars="100" w:firstLine="24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14:paraId="06D3EFC9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</w:t>
            </w:r>
          </w:p>
          <w:p w14:paraId="0BA2AD11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</w:t>
            </w:r>
          </w:p>
          <w:p w14:paraId="7AD61DBE" w14:textId="77777777" w:rsidR="006B5E08" w:rsidRDefault="00D81B6E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方</w:t>
            </w:r>
          </w:p>
          <w:p w14:paraId="0340078D" w14:textId="77777777" w:rsidR="006B5E08" w:rsidRDefault="00D81B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法</w:t>
            </w:r>
          </w:p>
        </w:tc>
        <w:tc>
          <w:tcPr>
            <w:tcW w:w="5756" w:type="dxa"/>
          </w:tcPr>
          <w:p w14:paraId="4A6E53B6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善于综合运用现代信息技术手段和数字资源把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巧妙渗透教学全过程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058E3C66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教学方法选择合理、实用，运用恰当、灵活，能够调动学生学习的积极性、主动性和创造性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教学手段丰富，能够很好地达到教学目的要求，恰当运用多媒体进行教学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多媒体课件设计合理，能起到有效辅助作用；</w:t>
            </w:r>
          </w:p>
        </w:tc>
        <w:tc>
          <w:tcPr>
            <w:tcW w:w="638" w:type="dxa"/>
          </w:tcPr>
          <w:p w14:paraId="3CAFBFEA" w14:textId="77777777" w:rsidR="006B5E08" w:rsidRDefault="006B5E0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6249F3" w14:textId="77777777" w:rsidR="006B5E08" w:rsidRDefault="006B5E0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BBD63A" w14:textId="77777777" w:rsidR="006B5E08" w:rsidRDefault="006B5E0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165EF1" w14:textId="77777777" w:rsidR="006B5E08" w:rsidRDefault="006B5E0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044FE60" w14:textId="77777777" w:rsidR="006B5E08" w:rsidRDefault="00D81B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</w:t>
            </w:r>
          </w:p>
        </w:tc>
        <w:tc>
          <w:tcPr>
            <w:tcW w:w="712" w:type="dxa"/>
          </w:tcPr>
          <w:p w14:paraId="71DF4C8A" w14:textId="77777777" w:rsidR="006B5E08" w:rsidRDefault="006B5E08">
            <w:pPr>
              <w:rPr>
                <w:rFonts w:ascii="Times New Roman" w:hAnsi="Times New Roman"/>
                <w:sz w:val="24"/>
              </w:rPr>
            </w:pPr>
          </w:p>
        </w:tc>
      </w:tr>
      <w:tr w:rsidR="006B5E08" w14:paraId="11C90610" w14:textId="77777777">
        <w:trPr>
          <w:trHeight w:val="149"/>
        </w:trPr>
        <w:tc>
          <w:tcPr>
            <w:tcW w:w="820" w:type="dxa"/>
            <w:vMerge/>
          </w:tcPr>
          <w:p w14:paraId="6A7F4911" w14:textId="77777777" w:rsidR="006B5E08" w:rsidRDefault="006B5E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23059E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</w:t>
            </w:r>
          </w:p>
          <w:p w14:paraId="4A9B3C37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</w:t>
            </w:r>
          </w:p>
          <w:p w14:paraId="4061DE33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效</w:t>
            </w:r>
            <w:proofErr w:type="gramEnd"/>
          </w:p>
          <w:p w14:paraId="05962AAA" w14:textId="77777777" w:rsidR="006B5E08" w:rsidRDefault="00D81B6E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5756" w:type="dxa"/>
            <w:vAlign w:val="center"/>
          </w:tcPr>
          <w:p w14:paraId="6CEF70F4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和价值引领，有效达成教学目标，效果明显；</w:t>
            </w:r>
          </w:p>
          <w:p w14:paraId="38CD3F7F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教学感染力强，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教学互动性强，学生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课堂教学气氛好。</w:t>
            </w:r>
          </w:p>
        </w:tc>
        <w:tc>
          <w:tcPr>
            <w:tcW w:w="638" w:type="dxa"/>
            <w:vAlign w:val="center"/>
          </w:tcPr>
          <w:p w14:paraId="3509B28B" w14:textId="77777777" w:rsidR="006B5E08" w:rsidRDefault="00D81B6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12" w:type="dxa"/>
            <w:vAlign w:val="bottom"/>
          </w:tcPr>
          <w:p w14:paraId="50135C4E" w14:textId="77777777" w:rsidR="006B5E08" w:rsidRDefault="006B5E08">
            <w:pPr>
              <w:widowControl/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B5E08" w14:paraId="14B162F4" w14:textId="77777777">
        <w:trPr>
          <w:trHeight w:val="149"/>
        </w:trPr>
        <w:tc>
          <w:tcPr>
            <w:tcW w:w="820" w:type="dxa"/>
            <w:vMerge/>
          </w:tcPr>
          <w:p w14:paraId="67FA529A" w14:textId="77777777" w:rsidR="006B5E08" w:rsidRDefault="006B5E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3FC008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</w:t>
            </w:r>
          </w:p>
          <w:p w14:paraId="6DB69D77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师</w:t>
            </w:r>
          </w:p>
          <w:p w14:paraId="11C3BEAB" w14:textId="77777777" w:rsidR="006B5E08" w:rsidRDefault="00D81B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素</w:t>
            </w:r>
          </w:p>
          <w:p w14:paraId="1D7650E8" w14:textId="77777777" w:rsidR="006B5E08" w:rsidRDefault="00D81B6E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养</w:t>
            </w:r>
          </w:p>
        </w:tc>
        <w:tc>
          <w:tcPr>
            <w:tcW w:w="5756" w:type="dxa"/>
            <w:vAlign w:val="center"/>
          </w:tcPr>
          <w:p w14:paraId="5F0AA341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教态得体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、自然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精神饱满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热情亲切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3625DFB0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使用普通话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语言规范、清晰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准确、生动，表达简练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66032C11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板书设计合理，书写流畅，工整规范，没有错别字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22BE6CCE" w14:textId="77777777" w:rsidR="006B5E08" w:rsidRDefault="00D81B6E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参赛时间控制得当。</w:t>
            </w:r>
          </w:p>
        </w:tc>
        <w:tc>
          <w:tcPr>
            <w:tcW w:w="638" w:type="dxa"/>
            <w:vAlign w:val="center"/>
          </w:tcPr>
          <w:p w14:paraId="7E60F280" w14:textId="77777777" w:rsidR="006B5E08" w:rsidRDefault="00D81B6E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12" w:type="dxa"/>
            <w:vAlign w:val="bottom"/>
          </w:tcPr>
          <w:p w14:paraId="68440645" w14:textId="77777777" w:rsidR="006B5E08" w:rsidRDefault="00D81B6E">
            <w:pPr>
              <w:widowControl/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42DF4F7" w14:textId="77777777" w:rsidR="006B5E08" w:rsidRDefault="006B5E08"/>
    <w:sectPr w:rsidR="006B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FC7EB2"/>
    <w:rsid w:val="006B5E08"/>
    <w:rsid w:val="00D81B6E"/>
    <w:rsid w:val="0743258E"/>
    <w:rsid w:val="0A5367B8"/>
    <w:rsid w:val="0A7D7D28"/>
    <w:rsid w:val="10252031"/>
    <w:rsid w:val="1B852D03"/>
    <w:rsid w:val="1C507489"/>
    <w:rsid w:val="225F410C"/>
    <w:rsid w:val="272A1B95"/>
    <w:rsid w:val="32222C7B"/>
    <w:rsid w:val="349E6770"/>
    <w:rsid w:val="3CFC7EB2"/>
    <w:rsid w:val="45D04B23"/>
    <w:rsid w:val="49895E36"/>
    <w:rsid w:val="4CF6254D"/>
    <w:rsid w:val="4F490811"/>
    <w:rsid w:val="5BB65B48"/>
    <w:rsid w:val="75F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A4129"/>
  <w15:docId w15:val="{F9D15A6E-7D4E-4C96-A345-5A22614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诺小盒</dc:creator>
  <cp:lastModifiedBy>赵 岩姝</cp:lastModifiedBy>
  <cp:revision>2</cp:revision>
  <dcterms:created xsi:type="dcterms:W3CDTF">2020-06-16T07:36:00Z</dcterms:created>
  <dcterms:modified xsi:type="dcterms:W3CDTF">2020-12-13T00:47:00Z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