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pBdr>
          <w:bottom w:val="single" w:color="auto" w:sz="6" w:space="26"/>
        </w:pBdr>
        <w:spacing w:before="312" w:beforeLines="100"/>
        <w:jc w:val="right"/>
        <w:rPr>
          <w:rFonts w:ascii="Arial" w:hAnsi="Arial" w:cs="Arial"/>
          <w:b/>
          <w:sz w:val="44"/>
          <w:szCs w:val="44"/>
        </w:rPr>
      </w:pPr>
      <w:r>
        <w:rPr>
          <w:rFonts w:hint="eastAsia" w:ascii="Arial" w:hAnsi="Arial" w:cs="Arial"/>
          <w:b/>
          <w:sz w:val="44"/>
          <w:szCs w:val="44"/>
        </w:rPr>
        <w:t>PM S</w:t>
      </w:r>
      <w:r>
        <w:rPr>
          <w:rFonts w:ascii="Arial" w:hAnsi="Arial" w:cs="Arial"/>
          <w:b/>
          <w:sz w:val="44"/>
          <w:szCs w:val="44"/>
        </w:rPr>
        <w:t>pecification</w:t>
      </w:r>
    </w:p>
    <w:p/>
    <w:p>
      <w:pPr>
        <w:wordWrap w:val="0"/>
        <w:jc w:val="right"/>
        <w:rPr>
          <w:rFonts w:ascii="黑体" w:eastAsia="黑体"/>
          <w:b/>
          <w:sz w:val="52"/>
          <w:szCs w:val="52"/>
        </w:rPr>
      </w:pPr>
      <w:r>
        <w:rPr>
          <w:rFonts w:hint="eastAsia" w:ascii="黑体" w:eastAsia="黑体"/>
          <w:b/>
          <w:sz w:val="52"/>
          <w:szCs w:val="52"/>
        </w:rPr>
        <w:t>万欣实验室综合管理系统</w:t>
      </w:r>
    </w:p>
    <w:p>
      <w:pPr>
        <w:wordWrap w:val="0"/>
        <w:jc w:val="right"/>
        <w:rPr>
          <w:rFonts w:ascii="Palatino Linotype" w:hAnsi="Palatino Linotype" w:eastAsia="黑体"/>
          <w:b/>
          <w:sz w:val="40"/>
          <w:szCs w:val="44"/>
        </w:rPr>
      </w:pPr>
      <w:r>
        <w:rPr>
          <w:rFonts w:hint="eastAsia" w:ascii="Palatino Linotype" w:hAnsi="Palatino Linotype" w:eastAsia="黑体"/>
          <w:b/>
          <w:sz w:val="40"/>
          <w:szCs w:val="44"/>
          <w:lang w:eastAsia="zh-CN"/>
        </w:rPr>
        <w:t>安全准入（学生）</w:t>
      </w:r>
      <w:r>
        <w:rPr>
          <w:rFonts w:hint="eastAsia" w:ascii="Palatino Linotype" w:hAnsi="Palatino Linotype" w:eastAsia="黑体"/>
          <w:b/>
          <w:sz w:val="40"/>
          <w:szCs w:val="44"/>
        </w:rPr>
        <w:t>使用手册</w:t>
      </w:r>
    </w:p>
    <w:p>
      <w:pPr>
        <w:jc w:val="right"/>
        <w:rPr>
          <w:rFonts w:ascii="Palatino Linotype" w:hAnsi="Palatino Linotype" w:eastAsia="黑体"/>
          <w:b/>
          <w:sz w:val="40"/>
          <w:szCs w:val="44"/>
        </w:rPr>
      </w:pPr>
    </w:p>
    <w:p>
      <w:pPr>
        <w:jc w:val="right"/>
        <w:rPr>
          <w:rFonts w:ascii="Palatino Linotype" w:hAnsi="Palatino Linotype" w:eastAsia="黑体"/>
          <w:b/>
          <w:sz w:val="40"/>
          <w:szCs w:val="44"/>
        </w:rPr>
      </w:pPr>
    </w:p>
    <w:p>
      <w:pPr>
        <w:jc w:val="right"/>
        <w:rPr>
          <w:rFonts w:ascii="Palatino Linotype" w:hAnsi="Palatino Linotype" w:eastAsia="黑体"/>
          <w:b/>
          <w:sz w:val="40"/>
          <w:szCs w:val="44"/>
        </w:rPr>
      </w:pPr>
    </w:p>
    <w:p>
      <w:pPr>
        <w:jc w:val="right"/>
        <w:rPr>
          <w:rFonts w:ascii="黑体" w:eastAsia="黑体"/>
          <w:b/>
          <w:sz w:val="28"/>
          <w:szCs w:val="28"/>
        </w:rPr>
      </w:pPr>
    </w:p>
    <w:p>
      <w:pPr>
        <w:jc w:val="right"/>
        <w:rPr>
          <w:rFonts w:ascii="Arial" w:hAnsi="Arial" w:eastAsia="黑体" w:cs="Arial"/>
          <w:b/>
          <w:sz w:val="28"/>
          <w:szCs w:val="28"/>
        </w:rPr>
      </w:pPr>
      <w:bookmarkStart w:id="0" w:name="_Toc268360118"/>
      <w:bookmarkStart w:id="1" w:name="_Toc273007919"/>
      <w:bookmarkStart w:id="2" w:name="_Toc268359779"/>
      <w:bookmarkStart w:id="3" w:name="_Toc273042358"/>
      <w:r>
        <w:rPr>
          <w:rFonts w:ascii="Arial" w:hAnsi="Arial" w:eastAsia="黑体" w:cs="Arial"/>
          <w:b/>
          <w:sz w:val="28"/>
          <w:szCs w:val="28"/>
        </w:rPr>
        <w:t xml:space="preserve">Version </w:t>
      </w:r>
      <w:r>
        <w:rPr>
          <w:rFonts w:hint="eastAsia" w:ascii="Arial" w:hAnsi="Arial" w:eastAsia="黑体" w:cs="Arial"/>
          <w:b/>
          <w:sz w:val="28"/>
          <w:szCs w:val="28"/>
        </w:rPr>
        <w:t>3</w:t>
      </w:r>
      <w:r>
        <w:rPr>
          <w:rFonts w:ascii="Arial" w:hAnsi="Arial" w:eastAsia="黑体" w:cs="Arial"/>
          <w:b/>
          <w:sz w:val="28"/>
          <w:szCs w:val="28"/>
        </w:rPr>
        <w:t>.0</w:t>
      </w:r>
      <w:bookmarkEnd w:id="0"/>
      <w:bookmarkEnd w:id="1"/>
      <w:bookmarkEnd w:id="2"/>
      <w:bookmarkEnd w:id="3"/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  <w:numPr>
          <w:ilvl w:val="0"/>
          <w:numId w:val="1"/>
        </w:numPr>
        <w:rPr>
          <w:sz w:val="36"/>
          <w:szCs w:val="36"/>
          <w:lang w:eastAsia="zh-CN"/>
        </w:rPr>
      </w:pPr>
      <w:r>
        <w:rPr>
          <w:rFonts w:hint="eastAsia"/>
          <w:sz w:val="36"/>
          <w:szCs w:val="36"/>
          <w:lang w:eastAsia="zh-CN"/>
        </w:rPr>
        <w:t>安全准入简介</w:t>
      </w:r>
    </w:p>
    <w:p>
      <w:pPr>
        <w:pStyle w:val="9"/>
        <w:ind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高校实验室是实践教学的主要场所，是理论联系实际的前沿阵地，是培养新世纪创新型人才的重要基地。实验室安全是实验室正常运行和使用的前提条件，实验室安全与师生人身安全、设备和公共财产安全息息相关。本系统通过上传学习资料和发布试题让学生进行在线学习、在线练习、在线考试，经过这个考核过程提升学生的实验安全知识。下面详细介绍学生应如何操作安全准入模块。</w:t>
      </w:r>
    </w:p>
    <w:p>
      <w:pPr>
        <w:pStyle w:val="3"/>
        <w:rPr>
          <w:lang w:eastAsia="zh-CN"/>
        </w:rPr>
      </w:pPr>
      <w:bookmarkStart w:id="4" w:name="_Toc3661"/>
      <w:r>
        <w:rPr>
          <w:rFonts w:hint="eastAsia"/>
          <w:lang w:eastAsia="zh-CN"/>
        </w:rPr>
        <w:t>2.用户登录</w:t>
      </w:r>
      <w:bookmarkEnd w:id="4"/>
    </w:p>
    <w:p>
      <w:pPr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首先登录教务处网站</w:t>
      </w:r>
      <w:r>
        <w:fldChar w:fldCharType="begin"/>
      </w:r>
      <w:r>
        <w:instrText xml:space="preserve"> HYPERLINK "http://www.ustl.edu.cn/jw/" </w:instrText>
      </w:r>
      <w:r>
        <w:fldChar w:fldCharType="separate"/>
      </w:r>
      <w:r>
        <w:rPr>
          <w:rStyle w:val="8"/>
          <w:rFonts w:asciiTheme="minorEastAsia" w:hAnsiTheme="minorEastAsia"/>
          <w:sz w:val="24"/>
          <w:szCs w:val="24"/>
        </w:rPr>
        <w:t>http://www.ustl.edu.cn/jw/</w:t>
      </w:r>
      <w:r>
        <w:rPr>
          <w:rStyle w:val="8"/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，点击“实验平台”进入实验室信息化管理平台,或者登录：</w:t>
      </w:r>
      <w:r>
        <w:fldChar w:fldCharType="begin"/>
      </w:r>
      <w:r>
        <w:instrText xml:space="preserve"> HYPERLINK "http://202.199.243.98" </w:instrText>
      </w:r>
      <w:r>
        <w:fldChar w:fldCharType="separate"/>
      </w:r>
      <w:r>
        <w:rPr>
          <w:rStyle w:val="8"/>
          <w:rFonts w:hint="eastAsia" w:asciiTheme="minorEastAsia" w:hAnsiTheme="minorEastAsia"/>
          <w:sz w:val="24"/>
          <w:szCs w:val="24"/>
        </w:rPr>
        <w:t>h</w:t>
      </w:r>
      <w:r>
        <w:rPr>
          <w:rStyle w:val="8"/>
          <w:rFonts w:asciiTheme="minorEastAsia" w:hAnsiTheme="minorEastAsia"/>
          <w:sz w:val="24"/>
          <w:szCs w:val="24"/>
        </w:rPr>
        <w:t>t</w:t>
      </w:r>
      <w:r>
        <w:rPr>
          <w:rStyle w:val="8"/>
          <w:rFonts w:hint="eastAsia" w:asciiTheme="minorEastAsia" w:hAnsiTheme="minorEastAsia"/>
          <w:sz w:val="24"/>
          <w:szCs w:val="24"/>
        </w:rPr>
        <w:t>t</w:t>
      </w:r>
      <w:r>
        <w:rPr>
          <w:rStyle w:val="8"/>
          <w:rFonts w:asciiTheme="minorEastAsia" w:hAnsiTheme="minorEastAsia"/>
          <w:sz w:val="24"/>
          <w:szCs w:val="24"/>
        </w:rPr>
        <w:t>p://202.199.243.98</w:t>
      </w:r>
      <w:r>
        <w:rPr>
          <w:rStyle w:val="8"/>
          <w:rFonts w:asciiTheme="minorEastAsia" w:hAnsiTheme="minorEastAsia"/>
          <w:sz w:val="24"/>
          <w:szCs w:val="24"/>
        </w:rPr>
        <w:fldChar w:fldCharType="end"/>
      </w:r>
      <w:r>
        <w:rPr>
          <w:rFonts w:hint="eastAsia" w:asciiTheme="minorEastAsia" w:hAnsiTheme="minorEastAsia"/>
          <w:sz w:val="24"/>
          <w:szCs w:val="24"/>
        </w:rPr>
        <w:t>进入系统。</w:t>
      </w:r>
    </w:p>
    <w:p>
      <w:r>
        <w:drawing>
          <wp:inline distT="0" distB="0" distL="0" distR="0">
            <wp:extent cx="5274310" cy="2687955"/>
            <wp:effectExtent l="19050" t="19050" r="2159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drawing>
          <wp:inline distT="0" distB="0" distL="0" distR="0">
            <wp:extent cx="5274310" cy="4003040"/>
            <wp:effectExtent l="19050" t="19050" r="2159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480"/>
        <w:rPr>
          <w:rFonts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eastAsia="zh-CN"/>
        </w:rPr>
        <w:t>如上图所示，首先登录实验室信息化管理平台（为了更好的操作体验，建议使用3</w:t>
      </w:r>
      <w:r>
        <w:rPr>
          <w:rFonts w:asciiTheme="minorEastAsia" w:hAnsiTheme="minorEastAsia"/>
          <w:sz w:val="24"/>
          <w:szCs w:val="24"/>
          <w:lang w:eastAsia="zh-CN"/>
        </w:rPr>
        <w:t>60</w:t>
      </w:r>
      <w:r>
        <w:rPr>
          <w:rFonts w:hint="eastAsia" w:asciiTheme="minorEastAsia" w:hAnsiTheme="minorEastAsia"/>
          <w:sz w:val="24"/>
          <w:szCs w:val="24"/>
          <w:lang w:eastAsia="zh-CN"/>
        </w:rPr>
        <w:t>浏览器的急速模式），</w:t>
      </w:r>
      <w:r>
        <w:rPr>
          <w:rFonts w:asciiTheme="minorEastAsia" w:hAnsiTheme="minorEastAsia"/>
          <w:sz w:val="24"/>
          <w:szCs w:val="24"/>
          <w:lang w:eastAsia="zh-CN"/>
        </w:rPr>
        <w:t>在</w:t>
      </w:r>
      <w:r>
        <w:rPr>
          <w:rFonts w:hint="eastAsia" w:asciiTheme="minorEastAsia" w:hAnsiTheme="minorEastAsia"/>
          <w:sz w:val="24"/>
          <w:szCs w:val="24"/>
          <w:lang w:eastAsia="zh-CN"/>
        </w:rPr>
        <w:t xml:space="preserve"> “</w:t>
      </w:r>
      <w:r>
        <w:rPr>
          <w:rFonts w:asciiTheme="minorEastAsia" w:hAnsiTheme="minorEastAsia"/>
          <w:b/>
          <w:sz w:val="24"/>
          <w:szCs w:val="24"/>
          <w:lang w:eastAsia="zh-CN"/>
        </w:rPr>
        <w:t>用户登录</w:t>
      </w:r>
      <w:r>
        <w:rPr>
          <w:rFonts w:hint="eastAsia" w:asciiTheme="minorEastAsia" w:hAnsiTheme="minorEastAsia"/>
          <w:sz w:val="24"/>
          <w:szCs w:val="24"/>
          <w:lang w:eastAsia="zh-CN"/>
        </w:rPr>
        <w:t>”（红色框）中输入账号密码及校验码，完成登录。初始密码与账号相同均为学号。</w:t>
      </w:r>
    </w:p>
    <w:p>
      <w:pPr>
        <w:rPr>
          <w:lang w:eastAsia="zh-CN"/>
        </w:rPr>
      </w:pPr>
      <w:r>
        <w:drawing>
          <wp:inline distT="0" distB="0" distL="0" distR="0">
            <wp:extent cx="5274310" cy="2932430"/>
            <wp:effectExtent l="19050" t="19050" r="21590" b="203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2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登录后可以在个人中心修改登录密码，如果无需修改点击导航栏中的“安全准入”就可以进行安全准入的相关操作了。安全准入系统主要分为在线学习，在线联系和在线考试三个模块。</w:t>
      </w:r>
    </w:p>
    <w:p>
      <w:pPr>
        <w:rPr>
          <w:sz w:val="24"/>
          <w:szCs w:val="24"/>
          <w:lang w:eastAsia="zh-CN"/>
        </w:rPr>
      </w:pPr>
      <w:r>
        <w:drawing>
          <wp:inline distT="0" distB="0" distL="0" distR="0">
            <wp:extent cx="5274310" cy="3238500"/>
            <wp:effectExtent l="19050" t="19050" r="21590" b="190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8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t>3.在线学习</w:t>
      </w:r>
    </w:p>
    <w:p>
      <w:pPr>
        <w:ind w:firstLine="480" w:firstLineChars="2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点击“在线学习”按钮可以看到以安全类别分类的试题，点击某个类别后方的开始学习进入学习界面。</w:t>
      </w:r>
    </w:p>
    <w:p>
      <w:pPr>
        <w:rPr>
          <w:sz w:val="24"/>
          <w:szCs w:val="24"/>
          <w:lang w:eastAsia="zh-CN"/>
        </w:rPr>
      </w:pPr>
      <w:r>
        <w:drawing>
          <wp:inline distT="0" distB="0" distL="0" distR="0">
            <wp:extent cx="5274310" cy="3734435"/>
            <wp:effectExtent l="19050" t="19050" r="2159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4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在学习界面您可以看到该类别下的所有试题以及正确答案，您可以在这里有针对性的进行学习。</w:t>
      </w:r>
    </w:p>
    <w:p>
      <w:pPr>
        <w:rPr>
          <w:sz w:val="24"/>
          <w:szCs w:val="24"/>
          <w:lang w:eastAsia="zh-CN"/>
        </w:rPr>
      </w:pPr>
      <w:r>
        <w:drawing>
          <wp:inline distT="0" distB="0" distL="0" distR="0">
            <wp:extent cx="5060315" cy="3478530"/>
            <wp:effectExtent l="9525" t="9525" r="16510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34785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color w:val="auto"/>
          <w:highlight w:val="red"/>
          <w:lang w:eastAsia="zh-CN"/>
        </w:rPr>
      </w:pPr>
      <w:r>
        <w:rPr>
          <w:rFonts w:hint="eastAsia"/>
          <w:color w:val="auto"/>
          <w:highlight w:val="red"/>
          <w:lang w:eastAsia="zh-CN"/>
        </w:rPr>
        <w:t>4.在线练习</w:t>
      </w:r>
      <w:r>
        <w:rPr>
          <w:rFonts w:hint="eastAsia"/>
          <w:color w:val="auto"/>
          <w:highlight w:val="none"/>
          <w:lang w:eastAsia="zh-CN"/>
        </w:rPr>
        <w:t>（请仔细阅读操作方法）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考前要求在线练习</w:t>
      </w:r>
      <w:r>
        <w:rPr>
          <w:rFonts w:hint="eastAsia"/>
          <w:sz w:val="24"/>
          <w:szCs w:val="24"/>
          <w:lang w:val="en-US" w:eastAsia="zh-CN"/>
        </w:rPr>
        <w:t>100道题方可参加考试</w:t>
      </w:r>
      <w:r>
        <w:rPr>
          <w:rFonts w:hint="eastAsia"/>
          <w:sz w:val="24"/>
          <w:szCs w:val="24"/>
          <w:lang w:eastAsia="zh-CN"/>
        </w:rPr>
        <w:t>。每答完一页需要点击一次“提交”，点击提交后系统会给出正确答案验证对错，不点击提交此页答题无效，不计数。</w:t>
      </w:r>
    </w:p>
    <w:p>
      <w:pPr>
        <w:rPr>
          <w:sz w:val="24"/>
          <w:szCs w:val="24"/>
          <w:lang w:eastAsia="zh-CN"/>
        </w:rPr>
      </w:pPr>
      <w:r>
        <w:drawing>
          <wp:inline distT="0" distB="0" distL="0" distR="0">
            <wp:extent cx="5219700" cy="3646170"/>
            <wp:effectExtent l="19050" t="19050" r="1905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18" cy="3653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bookmarkStart w:id="5" w:name="OLE_LINK2"/>
      <w:r>
        <w:rPr>
          <w:rFonts w:hint="eastAsia"/>
          <w:lang w:eastAsia="zh-CN"/>
        </w:rPr>
        <w:t>5.快捷通道</w:t>
      </w:r>
    </w:p>
    <w:bookmarkEnd w:id="5"/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在快捷通道中，您也可以点击学习资料下载老师上传的学习资料，学习信息可以查看练习情况，个人中心可以查询考试记录和证书。</w:t>
      </w:r>
    </w:p>
    <w:p>
      <w:pPr>
        <w:rPr>
          <w:lang w:eastAsia="zh-CN"/>
        </w:rPr>
      </w:pPr>
      <w:r>
        <w:drawing>
          <wp:inline distT="0" distB="0" distL="0" distR="0">
            <wp:extent cx="5274310" cy="2613025"/>
            <wp:effectExtent l="19050" t="19050" r="2159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lang w:eastAsia="zh-CN"/>
        </w:rPr>
      </w:pPr>
      <w:r>
        <w:rPr>
          <w:rFonts w:hint="eastAsia"/>
          <w:lang w:eastAsia="zh-CN"/>
        </w:rPr>
        <w:t>6.在线考试</w:t>
      </w:r>
      <w:bookmarkStart w:id="6" w:name="_GoBack"/>
      <w:bookmarkEnd w:id="6"/>
    </w:p>
    <w:p>
      <w:pPr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点击在线考试中的参加考试，系统会提示考试的相关信息，确定之后开始正式考试，考核满分</w:t>
      </w:r>
      <w:r>
        <w:rPr>
          <w:rFonts w:hint="eastAsia"/>
          <w:sz w:val="24"/>
          <w:szCs w:val="24"/>
          <w:lang w:val="en-US" w:eastAsia="zh-CN"/>
        </w:rPr>
        <w:t>100分</w:t>
      </w:r>
      <w:r>
        <w:rPr>
          <w:rFonts w:hint="eastAsia"/>
          <w:sz w:val="24"/>
          <w:szCs w:val="24"/>
          <w:lang w:eastAsia="zh-CN"/>
        </w:rPr>
        <w:t>通过之后系统会自动给您发安全准入证书。</w:t>
      </w:r>
    </w:p>
    <w:p>
      <w:r>
        <w:drawing>
          <wp:inline distT="0" distB="0" distL="0" distR="0">
            <wp:extent cx="5274310" cy="2578735"/>
            <wp:effectExtent l="19050" t="19050" r="2159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Palatino Linotype">
    <w:panose1 w:val="02040502050505030304"/>
    <w:charset w:val="00"/>
    <w:family w:val="roman"/>
    <w:pitch w:val="default"/>
    <w:sig w:usb0="E0000287" w:usb1="40000013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lang w:eastAsia="zh-CN"/>
      </w:rPr>
    </w:pPr>
    <w:r>
      <w:rPr>
        <w:rFonts w:cstheme="minorHAnsi"/>
        <w:sz w:val="21"/>
        <w:szCs w:val="21"/>
        <w:lang w:eastAsia="zh-CN"/>
      </w:rPr>
      <w:t>© 201</w:t>
    </w:r>
    <w:r>
      <w:rPr>
        <w:rFonts w:hint="eastAsia" w:cstheme="minorHAnsi"/>
        <w:sz w:val="21"/>
        <w:szCs w:val="21"/>
        <w:lang w:eastAsia="zh-CN"/>
      </w:rPr>
      <w:t>8</w:t>
    </w:r>
    <w:r>
      <w:rPr>
        <w:rFonts w:eastAsia="黑体" w:cstheme="minorHAnsi"/>
        <w:sz w:val="21"/>
        <w:szCs w:val="21"/>
        <w:lang w:eastAsia="zh-CN"/>
      </w:rPr>
      <w:t>，</w:t>
    </w:r>
    <w:r>
      <w:rPr>
        <w:rFonts w:hint="eastAsia" w:eastAsia="黑体" w:cstheme="minorHAnsi"/>
        <w:sz w:val="21"/>
        <w:szCs w:val="21"/>
        <w:lang w:eastAsia="zh-CN"/>
      </w:rPr>
      <w:t>上海万欣计算机信息科技有限公司</w:t>
    </w:r>
    <w:r>
      <w:rPr>
        <w:rFonts w:cstheme="minorHAnsi"/>
        <w:sz w:val="21"/>
        <w:szCs w:val="21"/>
        <w:lang w:eastAsia="zh-CN"/>
      </w:rPr>
      <w:t>.</w:t>
    </w:r>
    <w:r>
      <w:rPr>
        <w:rFonts w:eastAsia="黑体" w:cstheme="minorHAnsi"/>
        <w:sz w:val="21"/>
        <w:szCs w:val="21"/>
        <w:lang w:eastAsia="zh-CN"/>
      </w:rPr>
      <w:t xml:space="preserve"> 保留所有权利</w:t>
    </w:r>
  </w:p>
  <w:p>
    <w:pPr>
      <w:pStyle w:val="4"/>
      <w:rPr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  <w:rPr>
        <w:b/>
        <w:bCs/>
        <w:lang w:eastAsia="zh-CN"/>
      </w:rPr>
    </w:pPr>
  </w:p>
  <w:p>
    <w:pPr>
      <w:pStyle w:val="5"/>
      <w:jc w:val="left"/>
      <w:rPr>
        <w:lang w:eastAsia="zh-CN"/>
      </w:rPr>
    </w:pPr>
    <w:r>
      <w:rPr>
        <w:rFonts w:hint="eastAsia"/>
        <w:b/>
        <w:bCs/>
        <w:lang w:eastAsia="zh-CN"/>
      </w:rPr>
      <w:t>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394B6"/>
    <w:multiLevelType w:val="multilevel"/>
    <w:tmpl w:val="42B394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9E071B"/>
    <w:rsid w:val="00132E69"/>
    <w:rsid w:val="00224307"/>
    <w:rsid w:val="002D047F"/>
    <w:rsid w:val="00376382"/>
    <w:rsid w:val="003803CD"/>
    <w:rsid w:val="004C702C"/>
    <w:rsid w:val="00516AC6"/>
    <w:rsid w:val="00526123"/>
    <w:rsid w:val="00563028"/>
    <w:rsid w:val="00583B37"/>
    <w:rsid w:val="005E1A5E"/>
    <w:rsid w:val="00614E43"/>
    <w:rsid w:val="00664E98"/>
    <w:rsid w:val="007156A8"/>
    <w:rsid w:val="007763D5"/>
    <w:rsid w:val="007D0CF2"/>
    <w:rsid w:val="009D45C3"/>
    <w:rsid w:val="00A1052F"/>
    <w:rsid w:val="00B16124"/>
    <w:rsid w:val="00B27A01"/>
    <w:rsid w:val="00C37341"/>
    <w:rsid w:val="00C41E94"/>
    <w:rsid w:val="00C56049"/>
    <w:rsid w:val="00D3587E"/>
    <w:rsid w:val="00D82D80"/>
    <w:rsid w:val="00F17560"/>
    <w:rsid w:val="15762AA7"/>
    <w:rsid w:val="2C9E071B"/>
    <w:rsid w:val="3A18644B"/>
    <w:rsid w:val="51A8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1"/>
      <w:lang w:val="en-US" w:eastAsia="en-US" w:bidi="en-US"/>
    </w:rPr>
  </w:style>
  <w:style w:type="paragraph" w:styleId="2">
    <w:name w:val="heading 1"/>
    <w:basedOn w:val="1"/>
    <w:next w:val="1"/>
    <w:link w:val="10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标题 1 字符"/>
    <w:basedOn w:val="7"/>
    <w:link w:val="2"/>
    <w:qFormat/>
    <w:uiPriority w:val="0"/>
    <w:rPr>
      <w:rFonts w:asciiTheme="minorHAnsi" w:hAnsiTheme="minorHAnsi" w:eastAsiaTheme="minorEastAsia" w:cstheme="minorBidi"/>
      <w:b/>
      <w:kern w:val="44"/>
      <w:sz w:val="44"/>
      <w:lang w:eastAsia="en-US" w:bidi="en-US"/>
    </w:rPr>
  </w:style>
  <w:style w:type="character" w:customStyle="1" w:styleId="11">
    <w:name w:val="标题 2 字符"/>
    <w:basedOn w:val="7"/>
    <w:link w:val="3"/>
    <w:qFormat/>
    <w:uiPriority w:val="0"/>
    <w:rPr>
      <w:rFonts w:ascii="Arial" w:hAnsi="Arial" w:eastAsia="黑体" w:cstheme="minorBidi"/>
      <w:b/>
      <w:sz w:val="32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134</Words>
  <Characters>768</Characters>
  <Lines>6</Lines>
  <Paragraphs>1</Paragraphs>
  <TotalTime>0</TotalTime>
  <ScaleCrop>false</ScaleCrop>
  <LinksUpToDate>false</LinksUpToDate>
  <CharactersWithSpaces>901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2018-12-26T06:44:00Z</dcterms:created>
  <dc:creator>　</dc:creator>
  <cp:lastModifiedBy>静待花开</cp:lastModifiedBy>
  <dcterms:modified xsi:type="dcterms:W3CDTF">2021-05-11T06:59:39Z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